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C9" w:rsidRPr="00EB3AFB" w:rsidRDefault="001916C9" w:rsidP="001916C9">
      <w:pPr>
        <w:rPr>
          <w:rFonts w:ascii="Calibri" w:hAnsi="Calibri"/>
          <w:b/>
          <w:sz w:val="22"/>
        </w:rPr>
      </w:pPr>
      <w:r w:rsidRPr="00EB3AFB">
        <w:rPr>
          <w:rFonts w:ascii="Calibri" w:hAnsi="Calibri"/>
          <w:b/>
          <w:sz w:val="22"/>
        </w:rPr>
        <w:t>NOTICE OF PHARMACARE DRUG CHANGE THAT MAY IMPACT YOUR COVERAGE</w:t>
      </w:r>
    </w:p>
    <w:p w:rsidR="001916C9" w:rsidRDefault="001916C9" w:rsidP="001916C9">
      <w:pPr>
        <w:rPr>
          <w:rFonts w:ascii="Calibri" w:hAnsi="Calibri"/>
          <w:sz w:val="22"/>
        </w:rPr>
      </w:pPr>
    </w:p>
    <w:p w:rsidR="001916C9" w:rsidRPr="00EB3AFB" w:rsidRDefault="001916C9" w:rsidP="001916C9">
      <w:pPr>
        <w:rPr>
          <w:rFonts w:ascii="Calibri" w:hAnsi="Calibri"/>
          <w:sz w:val="21"/>
          <w:szCs w:val="21"/>
        </w:rPr>
      </w:pPr>
      <w:r w:rsidRPr="00EB3AFB">
        <w:rPr>
          <w:rFonts w:ascii="Calibri" w:hAnsi="Calibri"/>
          <w:sz w:val="21"/>
          <w:szCs w:val="21"/>
        </w:rPr>
        <w:t xml:space="preserve">Your drug plan includes a </w:t>
      </w:r>
      <w:r w:rsidR="00194038" w:rsidRPr="00EB3AFB">
        <w:rPr>
          <w:rFonts w:ascii="Calibri" w:hAnsi="Calibri"/>
          <w:sz w:val="21"/>
          <w:szCs w:val="21"/>
        </w:rPr>
        <w:t>PharmaCare</w:t>
      </w:r>
      <w:r w:rsidRPr="00EB3AFB">
        <w:rPr>
          <w:rFonts w:ascii="Calibri" w:hAnsi="Calibri"/>
          <w:sz w:val="21"/>
          <w:szCs w:val="21"/>
        </w:rPr>
        <w:t xml:space="preserve"> Tie-in. This means that BC Pharmacare</w:t>
      </w:r>
      <w:bookmarkStart w:id="0" w:name="_GoBack"/>
      <w:bookmarkEnd w:id="0"/>
      <w:r w:rsidRPr="00EB3AFB">
        <w:rPr>
          <w:rFonts w:ascii="Calibri" w:hAnsi="Calibri"/>
          <w:sz w:val="21"/>
          <w:szCs w:val="21"/>
        </w:rPr>
        <w:t xml:space="preserve"> must approve coverage of a drug before your plan will cover it (a number of limited exceptions apply)</w:t>
      </w:r>
      <w:r>
        <w:rPr>
          <w:rFonts w:ascii="Calibri" w:hAnsi="Calibri"/>
          <w:sz w:val="21"/>
          <w:szCs w:val="21"/>
        </w:rPr>
        <w:t xml:space="preserve">.  </w:t>
      </w:r>
      <w:r w:rsidRPr="00EB3AFB">
        <w:rPr>
          <w:rFonts w:ascii="Calibri" w:hAnsi="Calibri"/>
          <w:sz w:val="21"/>
          <w:szCs w:val="21"/>
        </w:rPr>
        <w:t xml:space="preserve">If you or your dependents are taking one of the following drugs, BC Pharmacare is making significant changes that may impact you. </w:t>
      </w:r>
    </w:p>
    <w:p w:rsidR="001916C9" w:rsidRPr="00EB3AFB" w:rsidRDefault="001916C9" w:rsidP="001916C9">
      <w:pPr>
        <w:rPr>
          <w:rFonts w:ascii="Calibri" w:hAnsi="Calibri"/>
          <w:sz w:val="21"/>
          <w:szCs w:val="21"/>
        </w:rPr>
      </w:pPr>
    </w:p>
    <w:p w:rsidR="001916C9" w:rsidRDefault="001916C9" w:rsidP="001916C9">
      <w:pPr>
        <w:rPr>
          <w:rFonts w:ascii="Calibri" w:hAnsi="Calibri"/>
          <w:sz w:val="21"/>
          <w:szCs w:val="21"/>
        </w:rPr>
      </w:pPr>
      <w:r w:rsidRPr="00EB3AFB">
        <w:rPr>
          <w:rFonts w:ascii="Calibri" w:hAnsi="Calibri"/>
          <w:b/>
          <w:sz w:val="21"/>
          <w:szCs w:val="21"/>
          <w:u w:val="single"/>
        </w:rPr>
        <w:t>Effective April 1, 2015</w:t>
      </w:r>
      <w:r w:rsidRPr="00EB3AFB">
        <w:rPr>
          <w:rFonts w:ascii="Calibri" w:hAnsi="Calibri"/>
          <w:sz w:val="21"/>
          <w:szCs w:val="21"/>
        </w:rPr>
        <w:t xml:space="preserve"> BC Pharmacare will only cover </w:t>
      </w:r>
      <w:r w:rsidRPr="00EB3AFB">
        <w:rPr>
          <w:rFonts w:ascii="Calibri" w:hAnsi="Calibri"/>
          <w:sz w:val="21"/>
          <w:szCs w:val="21"/>
          <w:u w:val="single"/>
        </w:rPr>
        <w:t>one</w:t>
      </w:r>
      <w:r w:rsidRPr="00EB3AFB">
        <w:rPr>
          <w:rFonts w:ascii="Calibri" w:hAnsi="Calibri"/>
          <w:sz w:val="21"/>
          <w:szCs w:val="21"/>
        </w:rPr>
        <w:t xml:space="preserve"> brand of the following generic drugs:</w:t>
      </w:r>
    </w:p>
    <w:p w:rsidR="00807937" w:rsidRPr="00EB3AFB" w:rsidRDefault="00807937" w:rsidP="001916C9">
      <w:pPr>
        <w:rPr>
          <w:rFonts w:ascii="Calibri" w:hAnsi="Calibri"/>
          <w:sz w:val="21"/>
          <w:szCs w:val="21"/>
        </w:rPr>
      </w:pPr>
    </w:p>
    <w:tbl>
      <w:tblPr>
        <w:tblW w:w="0" w:type="auto"/>
        <w:tblLook w:val="04A0" w:firstRow="1" w:lastRow="0" w:firstColumn="1" w:lastColumn="0" w:noHBand="0" w:noVBand="1"/>
      </w:tblPr>
      <w:tblGrid>
        <w:gridCol w:w="4576"/>
        <w:gridCol w:w="4577"/>
      </w:tblGrid>
      <w:tr w:rsidR="00807937" w:rsidRPr="005B5937" w:rsidTr="005B5937">
        <w:tc>
          <w:tcPr>
            <w:tcW w:w="4576" w:type="dxa"/>
            <w:shd w:val="clear" w:color="auto" w:fill="auto"/>
          </w:tcPr>
          <w:p w:rsidR="00807937" w:rsidRPr="005B5937" w:rsidRDefault="00807937" w:rsidP="005B5937">
            <w:pPr>
              <w:numPr>
                <w:ilvl w:val="0"/>
                <w:numId w:val="2"/>
              </w:numPr>
              <w:rPr>
                <w:rFonts w:ascii="Calibri" w:hAnsi="Calibri"/>
                <w:sz w:val="21"/>
                <w:szCs w:val="21"/>
              </w:rPr>
            </w:pPr>
            <w:r w:rsidRPr="005B5937">
              <w:rPr>
                <w:rFonts w:ascii="Calibri" w:hAnsi="Calibri"/>
                <w:sz w:val="21"/>
                <w:szCs w:val="21"/>
              </w:rPr>
              <w:t xml:space="preserve">ACCEL brand of Alendronate* </w:t>
            </w:r>
          </w:p>
          <w:p w:rsidR="00807937" w:rsidRPr="005B5937" w:rsidRDefault="00807937" w:rsidP="005B5937">
            <w:pPr>
              <w:numPr>
                <w:ilvl w:val="0"/>
                <w:numId w:val="2"/>
              </w:numPr>
              <w:rPr>
                <w:rFonts w:ascii="Calibri" w:hAnsi="Calibri"/>
                <w:sz w:val="21"/>
                <w:szCs w:val="21"/>
              </w:rPr>
            </w:pPr>
            <w:r w:rsidRPr="005B5937">
              <w:rPr>
                <w:rFonts w:ascii="Calibri" w:hAnsi="Calibri"/>
                <w:sz w:val="21"/>
                <w:szCs w:val="21"/>
              </w:rPr>
              <w:t xml:space="preserve">ACCEL brand of </w:t>
            </w:r>
            <w:proofErr w:type="spellStart"/>
            <w:r w:rsidRPr="005B5937">
              <w:rPr>
                <w:rFonts w:ascii="Calibri" w:hAnsi="Calibri"/>
                <w:sz w:val="21"/>
                <w:szCs w:val="21"/>
              </w:rPr>
              <w:t>Celecoxib</w:t>
            </w:r>
            <w:proofErr w:type="spellEnd"/>
            <w:r w:rsidRPr="005B5937">
              <w:rPr>
                <w:rFonts w:ascii="Calibri" w:hAnsi="Calibri"/>
                <w:sz w:val="21"/>
                <w:szCs w:val="21"/>
              </w:rPr>
              <w:t xml:space="preserve">* </w:t>
            </w:r>
          </w:p>
          <w:p w:rsidR="00807937" w:rsidRPr="005B5937" w:rsidRDefault="00807937" w:rsidP="005B5937">
            <w:pPr>
              <w:numPr>
                <w:ilvl w:val="0"/>
                <w:numId w:val="2"/>
              </w:numPr>
              <w:rPr>
                <w:rFonts w:ascii="Calibri" w:hAnsi="Calibri"/>
                <w:sz w:val="21"/>
                <w:szCs w:val="21"/>
              </w:rPr>
            </w:pPr>
            <w:r w:rsidRPr="005B5937">
              <w:rPr>
                <w:rFonts w:ascii="Calibri" w:hAnsi="Calibri"/>
                <w:sz w:val="21"/>
                <w:szCs w:val="21"/>
              </w:rPr>
              <w:t xml:space="preserve">RANBAXY brand of </w:t>
            </w:r>
            <w:proofErr w:type="spellStart"/>
            <w:r w:rsidRPr="005B5937">
              <w:rPr>
                <w:rFonts w:ascii="Calibri" w:hAnsi="Calibri"/>
                <w:sz w:val="21"/>
                <w:szCs w:val="21"/>
              </w:rPr>
              <w:t>Escitalopram</w:t>
            </w:r>
            <w:proofErr w:type="spellEnd"/>
            <w:r w:rsidRPr="005B5937">
              <w:rPr>
                <w:rFonts w:ascii="Calibri" w:hAnsi="Calibri"/>
                <w:sz w:val="21"/>
                <w:szCs w:val="21"/>
              </w:rPr>
              <w:t xml:space="preserve"> </w:t>
            </w:r>
          </w:p>
          <w:p w:rsidR="00807937" w:rsidRPr="005B5937" w:rsidRDefault="00807937" w:rsidP="005B5937">
            <w:pPr>
              <w:numPr>
                <w:ilvl w:val="0"/>
                <w:numId w:val="2"/>
              </w:numPr>
              <w:rPr>
                <w:rFonts w:ascii="Calibri" w:hAnsi="Calibri"/>
                <w:sz w:val="21"/>
                <w:szCs w:val="21"/>
              </w:rPr>
            </w:pPr>
            <w:r w:rsidRPr="005B5937">
              <w:rPr>
                <w:rFonts w:ascii="Calibri" w:hAnsi="Calibri"/>
                <w:sz w:val="21"/>
                <w:szCs w:val="21"/>
              </w:rPr>
              <w:t xml:space="preserve">ACCEL brand of Fluoxetine </w:t>
            </w:r>
          </w:p>
          <w:p w:rsidR="00807937" w:rsidRPr="005B5937" w:rsidRDefault="00807937" w:rsidP="001916C9">
            <w:pPr>
              <w:rPr>
                <w:rFonts w:ascii="Calibri" w:hAnsi="Calibri"/>
                <w:sz w:val="21"/>
                <w:szCs w:val="21"/>
              </w:rPr>
            </w:pPr>
          </w:p>
        </w:tc>
        <w:tc>
          <w:tcPr>
            <w:tcW w:w="4577" w:type="dxa"/>
            <w:shd w:val="clear" w:color="auto" w:fill="auto"/>
          </w:tcPr>
          <w:p w:rsidR="00807937" w:rsidRPr="005B5937" w:rsidRDefault="00807937" w:rsidP="005B5937">
            <w:pPr>
              <w:numPr>
                <w:ilvl w:val="0"/>
                <w:numId w:val="2"/>
              </w:numPr>
              <w:rPr>
                <w:rFonts w:ascii="Calibri" w:hAnsi="Calibri"/>
                <w:sz w:val="21"/>
                <w:szCs w:val="21"/>
              </w:rPr>
            </w:pPr>
            <w:r w:rsidRPr="005B5937">
              <w:rPr>
                <w:rFonts w:ascii="Calibri" w:hAnsi="Calibri"/>
                <w:sz w:val="21"/>
                <w:szCs w:val="21"/>
              </w:rPr>
              <w:t xml:space="preserve">ACCEL brand of </w:t>
            </w:r>
            <w:proofErr w:type="spellStart"/>
            <w:r w:rsidRPr="005B5937">
              <w:rPr>
                <w:rFonts w:ascii="Calibri" w:hAnsi="Calibri"/>
                <w:sz w:val="21"/>
                <w:szCs w:val="21"/>
              </w:rPr>
              <w:t>Quetiapine</w:t>
            </w:r>
            <w:proofErr w:type="spellEnd"/>
            <w:r w:rsidRPr="005B5937">
              <w:rPr>
                <w:rFonts w:ascii="Calibri" w:hAnsi="Calibri"/>
                <w:sz w:val="21"/>
                <w:szCs w:val="21"/>
              </w:rPr>
              <w:t xml:space="preserve"> </w:t>
            </w:r>
          </w:p>
          <w:p w:rsidR="00807937" w:rsidRPr="005B5937" w:rsidRDefault="00807937" w:rsidP="005B5937">
            <w:pPr>
              <w:numPr>
                <w:ilvl w:val="0"/>
                <w:numId w:val="2"/>
              </w:numPr>
              <w:rPr>
                <w:rFonts w:ascii="Calibri" w:hAnsi="Calibri"/>
                <w:sz w:val="21"/>
                <w:szCs w:val="21"/>
              </w:rPr>
            </w:pPr>
            <w:r w:rsidRPr="005B5937">
              <w:rPr>
                <w:rFonts w:ascii="Calibri" w:hAnsi="Calibri"/>
                <w:sz w:val="21"/>
                <w:szCs w:val="21"/>
              </w:rPr>
              <w:t xml:space="preserve">ACCEL brand of </w:t>
            </w:r>
            <w:proofErr w:type="spellStart"/>
            <w:r w:rsidRPr="005B5937">
              <w:rPr>
                <w:rFonts w:ascii="Calibri" w:hAnsi="Calibri"/>
                <w:sz w:val="21"/>
                <w:szCs w:val="21"/>
              </w:rPr>
              <w:t>Topiramate</w:t>
            </w:r>
            <w:proofErr w:type="spellEnd"/>
            <w:r w:rsidRPr="005B5937">
              <w:rPr>
                <w:rFonts w:ascii="Calibri" w:hAnsi="Calibri"/>
                <w:sz w:val="21"/>
                <w:szCs w:val="21"/>
              </w:rPr>
              <w:t xml:space="preserve"> </w:t>
            </w:r>
          </w:p>
          <w:p w:rsidR="00807937" w:rsidRPr="005B5937" w:rsidRDefault="00807937" w:rsidP="005B5937">
            <w:pPr>
              <w:numPr>
                <w:ilvl w:val="0"/>
                <w:numId w:val="2"/>
              </w:numPr>
              <w:ind w:left="734" w:hanging="374"/>
              <w:rPr>
                <w:rFonts w:ascii="Calibri" w:hAnsi="Calibri"/>
                <w:sz w:val="21"/>
                <w:szCs w:val="21"/>
              </w:rPr>
            </w:pPr>
            <w:r w:rsidRPr="005B5937">
              <w:rPr>
                <w:rFonts w:ascii="Calibri" w:hAnsi="Calibri"/>
                <w:sz w:val="21"/>
                <w:szCs w:val="21"/>
              </w:rPr>
              <w:t xml:space="preserve">SEPTA brand of </w:t>
            </w:r>
            <w:proofErr w:type="spellStart"/>
            <w:r w:rsidRPr="005B5937">
              <w:rPr>
                <w:rFonts w:ascii="Calibri" w:hAnsi="Calibri"/>
                <w:sz w:val="21"/>
                <w:szCs w:val="21"/>
              </w:rPr>
              <w:t>Zolmitriptan</w:t>
            </w:r>
            <w:proofErr w:type="spellEnd"/>
            <w:r w:rsidRPr="005B5937">
              <w:rPr>
                <w:rFonts w:ascii="Calibri" w:hAnsi="Calibri"/>
                <w:sz w:val="21"/>
                <w:szCs w:val="21"/>
              </w:rPr>
              <w:t xml:space="preserve">                   oral dissolve tablets</w:t>
            </w:r>
          </w:p>
          <w:p w:rsidR="00807937" w:rsidRPr="005B5937" w:rsidRDefault="00807937" w:rsidP="001916C9">
            <w:pPr>
              <w:rPr>
                <w:rFonts w:ascii="Calibri" w:hAnsi="Calibri"/>
                <w:sz w:val="21"/>
                <w:szCs w:val="21"/>
              </w:rPr>
            </w:pPr>
          </w:p>
        </w:tc>
      </w:tr>
    </w:tbl>
    <w:p w:rsidR="001916C9" w:rsidRPr="00EB3AFB" w:rsidRDefault="001916C9" w:rsidP="001916C9">
      <w:pPr>
        <w:rPr>
          <w:rFonts w:ascii="Calibri" w:hAnsi="Calibri"/>
          <w:sz w:val="21"/>
          <w:szCs w:val="21"/>
        </w:rPr>
      </w:pPr>
      <w:r w:rsidRPr="00EB3AFB">
        <w:rPr>
          <w:rFonts w:ascii="Calibri" w:hAnsi="Calibri"/>
          <w:sz w:val="21"/>
          <w:szCs w:val="21"/>
        </w:rPr>
        <w:t>* Continues to require PharmaCare Special Authority approval</w:t>
      </w:r>
    </w:p>
    <w:p w:rsidR="001916C9" w:rsidRPr="00EB3AFB" w:rsidRDefault="001916C9" w:rsidP="001916C9">
      <w:pPr>
        <w:rPr>
          <w:rFonts w:ascii="Calibri" w:hAnsi="Calibri"/>
          <w:sz w:val="21"/>
          <w:szCs w:val="21"/>
        </w:rPr>
      </w:pPr>
    </w:p>
    <w:p w:rsidR="001916C9" w:rsidRPr="00EB3AFB" w:rsidRDefault="001916C9" w:rsidP="001916C9">
      <w:pPr>
        <w:rPr>
          <w:rFonts w:ascii="Calibri" w:hAnsi="Calibri"/>
          <w:sz w:val="21"/>
          <w:szCs w:val="21"/>
        </w:rPr>
      </w:pPr>
      <w:r w:rsidRPr="00EB3AFB">
        <w:rPr>
          <w:rFonts w:ascii="Calibri" w:hAnsi="Calibri"/>
          <w:b/>
          <w:sz w:val="21"/>
          <w:szCs w:val="21"/>
        </w:rPr>
        <w:t>How does this impact your coverage of these drugs?</w:t>
      </w:r>
    </w:p>
    <w:p w:rsidR="001916C9" w:rsidRPr="00EB3AFB" w:rsidRDefault="001916C9" w:rsidP="001916C9">
      <w:pPr>
        <w:rPr>
          <w:rFonts w:ascii="Calibri" w:hAnsi="Calibri"/>
          <w:sz w:val="21"/>
          <w:szCs w:val="21"/>
        </w:rPr>
      </w:pPr>
      <w:r w:rsidRPr="00EB3AFB">
        <w:rPr>
          <w:rFonts w:ascii="Calibri" w:hAnsi="Calibri"/>
          <w:sz w:val="21"/>
          <w:szCs w:val="21"/>
        </w:rPr>
        <w:t xml:space="preserve">Currently, multiple generic versions of these drugs are eligible for coverage by BC PharmaCare and are therefore covered under your private drug plan. As of April 1, 2015 however, all generic brands of these drugs </w:t>
      </w:r>
      <w:r w:rsidRPr="00EB3AFB">
        <w:rPr>
          <w:rFonts w:ascii="Calibri" w:hAnsi="Calibri"/>
          <w:b/>
          <w:sz w:val="21"/>
          <w:szCs w:val="21"/>
          <w:u w:val="single"/>
        </w:rPr>
        <w:t>except</w:t>
      </w:r>
      <w:r w:rsidRPr="00EB3AFB">
        <w:rPr>
          <w:rFonts w:ascii="Calibri" w:hAnsi="Calibri"/>
          <w:sz w:val="21"/>
          <w:szCs w:val="21"/>
        </w:rPr>
        <w:t xml:space="preserve"> those listed above will be ineligible for coverage by BC PharmaCare and denied reimbursement by your drug plan. If you claim one of these medications after April 1 and it is not covered, your pharmacy is likely not dispensing the covered brand.</w:t>
      </w:r>
    </w:p>
    <w:p w:rsidR="001916C9" w:rsidRPr="00EB3AFB" w:rsidRDefault="001916C9" w:rsidP="001916C9">
      <w:pPr>
        <w:rPr>
          <w:rFonts w:ascii="Calibri" w:hAnsi="Calibri"/>
          <w:sz w:val="21"/>
          <w:szCs w:val="21"/>
        </w:rPr>
      </w:pPr>
    </w:p>
    <w:p w:rsidR="001916C9" w:rsidRPr="00EB3AFB" w:rsidRDefault="001916C9" w:rsidP="001916C9">
      <w:pPr>
        <w:rPr>
          <w:rFonts w:ascii="Calibri" w:hAnsi="Calibri"/>
          <w:sz w:val="21"/>
          <w:szCs w:val="21"/>
        </w:rPr>
      </w:pPr>
      <w:r w:rsidRPr="00EB3AFB">
        <w:rPr>
          <w:rFonts w:ascii="Calibri" w:hAnsi="Calibri"/>
          <w:sz w:val="21"/>
          <w:szCs w:val="21"/>
        </w:rPr>
        <w:t xml:space="preserve">In order to receive reimbursement for one of the generic drugs above, your pharmacist must fill your prescription with the covered brand. </w:t>
      </w:r>
    </w:p>
    <w:p w:rsidR="001916C9" w:rsidRPr="00EB3AFB" w:rsidRDefault="001916C9" w:rsidP="001916C9">
      <w:pPr>
        <w:rPr>
          <w:rFonts w:ascii="Calibri" w:hAnsi="Calibri"/>
          <w:sz w:val="21"/>
          <w:szCs w:val="21"/>
        </w:rPr>
      </w:pPr>
    </w:p>
    <w:p w:rsidR="001916C9" w:rsidRPr="00EB3AFB" w:rsidRDefault="001916C9" w:rsidP="001916C9">
      <w:pPr>
        <w:rPr>
          <w:rFonts w:ascii="Calibri" w:hAnsi="Calibri"/>
          <w:b/>
          <w:sz w:val="21"/>
          <w:szCs w:val="21"/>
        </w:rPr>
      </w:pPr>
      <w:r w:rsidRPr="00EB3AFB">
        <w:rPr>
          <w:rFonts w:ascii="Calibri" w:hAnsi="Calibri"/>
          <w:b/>
          <w:sz w:val="21"/>
          <w:szCs w:val="21"/>
        </w:rPr>
        <w:t>How do I ensure continued coverage?</w:t>
      </w:r>
    </w:p>
    <w:p w:rsidR="001916C9" w:rsidRPr="00EB3AFB" w:rsidRDefault="001916C9" w:rsidP="001916C9">
      <w:pPr>
        <w:rPr>
          <w:rFonts w:ascii="Calibri" w:hAnsi="Calibri"/>
          <w:sz w:val="21"/>
          <w:szCs w:val="21"/>
        </w:rPr>
      </w:pPr>
      <w:r w:rsidRPr="00EB3AFB">
        <w:rPr>
          <w:rFonts w:ascii="Calibri" w:hAnsi="Calibri"/>
          <w:sz w:val="21"/>
          <w:szCs w:val="21"/>
        </w:rPr>
        <w:t>Before filling your prescription, ensure the pharmacy carries the generic brand covered by BC Pharmacare and request that it be dispensed. You may find that you are already receiving the covered generic brand.</w:t>
      </w:r>
    </w:p>
    <w:p w:rsidR="001916C9" w:rsidRPr="00EB3AFB" w:rsidRDefault="001916C9" w:rsidP="001916C9">
      <w:pPr>
        <w:rPr>
          <w:rFonts w:ascii="Calibri" w:hAnsi="Calibri"/>
          <w:sz w:val="21"/>
          <w:szCs w:val="21"/>
        </w:rPr>
      </w:pPr>
    </w:p>
    <w:p w:rsidR="001916C9" w:rsidRPr="00EB3AFB" w:rsidRDefault="001916C9" w:rsidP="001916C9">
      <w:pPr>
        <w:rPr>
          <w:rFonts w:ascii="Calibri" w:hAnsi="Calibri"/>
          <w:sz w:val="21"/>
          <w:szCs w:val="21"/>
        </w:rPr>
      </w:pPr>
      <w:r w:rsidRPr="00EB3AFB">
        <w:rPr>
          <w:rFonts w:ascii="Calibri" w:hAnsi="Calibri"/>
          <w:sz w:val="21"/>
          <w:szCs w:val="21"/>
        </w:rPr>
        <w:t>If your pharmacy dispenses the BC Pharmacare-covered generic brand of your medication and the claim is still denied, have your pharmacist call Pacific Blue Cross to resolve the issue.</w:t>
      </w:r>
    </w:p>
    <w:p w:rsidR="001916C9" w:rsidRPr="00EB3AFB" w:rsidRDefault="001916C9" w:rsidP="001916C9">
      <w:pPr>
        <w:rPr>
          <w:rFonts w:ascii="Calibri" w:hAnsi="Calibri"/>
          <w:sz w:val="21"/>
          <w:szCs w:val="21"/>
        </w:rPr>
      </w:pPr>
    </w:p>
    <w:p w:rsidR="001916C9" w:rsidRPr="00EB3AFB" w:rsidRDefault="001916C9" w:rsidP="001916C9">
      <w:pPr>
        <w:rPr>
          <w:rFonts w:ascii="Calibri" w:hAnsi="Calibri"/>
          <w:b/>
          <w:sz w:val="21"/>
          <w:szCs w:val="21"/>
        </w:rPr>
      </w:pPr>
      <w:r w:rsidRPr="00EB3AFB">
        <w:rPr>
          <w:rFonts w:ascii="Calibri" w:hAnsi="Calibri"/>
          <w:b/>
          <w:sz w:val="21"/>
          <w:szCs w:val="21"/>
        </w:rPr>
        <w:t>Does this mean I need a new prescription?</w:t>
      </w:r>
    </w:p>
    <w:p w:rsidR="001916C9" w:rsidRPr="00EB3AFB" w:rsidRDefault="001916C9" w:rsidP="001916C9">
      <w:pPr>
        <w:rPr>
          <w:rFonts w:ascii="Calibri" w:hAnsi="Calibri"/>
          <w:sz w:val="21"/>
          <w:szCs w:val="21"/>
        </w:rPr>
      </w:pPr>
      <w:r w:rsidRPr="00EB3AFB">
        <w:rPr>
          <w:rFonts w:ascii="Calibri" w:hAnsi="Calibri"/>
          <w:sz w:val="21"/>
          <w:szCs w:val="21"/>
        </w:rPr>
        <w:t xml:space="preserve">No. The prescription drug you are taking remains the same; the only difference is the drug company manufacturing the generic drug. Generally there are no issues that result from switching generic brands. In fact, your pharmacy may have dispensed different generic versions when filling your prescription previously. In the unlikely event you have a medical issue (ie. you are allergic to or have some contraindication with non-medicinal ingredients in the covered drug), see your doctor immediately.  </w:t>
      </w:r>
    </w:p>
    <w:p w:rsidR="001916C9" w:rsidRPr="00EB3AFB" w:rsidRDefault="001916C9" w:rsidP="001916C9">
      <w:pPr>
        <w:rPr>
          <w:rFonts w:ascii="Calibri" w:hAnsi="Calibri"/>
          <w:b/>
          <w:sz w:val="21"/>
          <w:szCs w:val="21"/>
        </w:rPr>
      </w:pPr>
    </w:p>
    <w:p w:rsidR="001916C9" w:rsidRPr="00EB3AFB" w:rsidRDefault="001916C9" w:rsidP="001916C9">
      <w:pPr>
        <w:rPr>
          <w:rFonts w:ascii="Calibri" w:hAnsi="Calibri"/>
          <w:b/>
          <w:sz w:val="21"/>
          <w:szCs w:val="21"/>
        </w:rPr>
      </w:pPr>
      <w:r w:rsidRPr="00EB3AFB">
        <w:rPr>
          <w:rFonts w:ascii="Calibri" w:hAnsi="Calibri"/>
          <w:b/>
          <w:sz w:val="21"/>
          <w:szCs w:val="21"/>
        </w:rPr>
        <w:t>Will there be future changes?</w:t>
      </w:r>
    </w:p>
    <w:p w:rsidR="001916C9" w:rsidRPr="00EB3AFB" w:rsidRDefault="001916C9" w:rsidP="001916C9">
      <w:pPr>
        <w:rPr>
          <w:rFonts w:ascii="Calibri" w:hAnsi="Calibri"/>
          <w:sz w:val="21"/>
          <w:szCs w:val="21"/>
        </w:rPr>
      </w:pPr>
      <w:r w:rsidRPr="00EB3AFB">
        <w:rPr>
          <w:rFonts w:ascii="Calibri" w:hAnsi="Calibri"/>
          <w:sz w:val="21"/>
          <w:szCs w:val="21"/>
        </w:rPr>
        <w:t>PharmaCare’s list of covered drugs changes often.  For up-to-date coverage status of your medications, please refer to the Drug Look Up function in CARESnet (</w:t>
      </w:r>
      <w:hyperlink r:id="rId7" w:history="1">
        <w:r w:rsidRPr="00EB3AFB">
          <w:rPr>
            <w:rStyle w:val="Hyperlink"/>
            <w:rFonts w:ascii="Calibri" w:hAnsi="Calibri"/>
            <w:sz w:val="21"/>
            <w:szCs w:val="21"/>
          </w:rPr>
          <w:t>www.pac.bluecross.ca</w:t>
        </w:r>
      </w:hyperlink>
      <w:r w:rsidRPr="00EB3AFB">
        <w:rPr>
          <w:rFonts w:ascii="Calibri" w:hAnsi="Calibri"/>
          <w:sz w:val="21"/>
          <w:szCs w:val="21"/>
        </w:rPr>
        <w:t xml:space="preserve">) or visit PharmaCare’s Formulary Search page </w:t>
      </w:r>
      <w:hyperlink r:id="rId8" w:history="1">
        <w:r w:rsidRPr="00EB3AFB">
          <w:rPr>
            <w:rStyle w:val="Hyperlink"/>
            <w:rFonts w:ascii="Calibri" w:hAnsi="Calibri"/>
            <w:sz w:val="21"/>
            <w:szCs w:val="21"/>
          </w:rPr>
          <w:t>https://pcbl.hlth.gov.bc.ca/pharmacare/benefitslookup/</w:t>
        </w:r>
      </w:hyperlink>
      <w:r>
        <w:rPr>
          <w:rFonts w:ascii="Calibri" w:hAnsi="Calibri"/>
          <w:sz w:val="21"/>
          <w:szCs w:val="21"/>
        </w:rPr>
        <w:t>.</w:t>
      </w:r>
      <w:r>
        <w:rPr>
          <w:rFonts w:ascii="Calibri" w:hAnsi="Calibri"/>
          <w:sz w:val="21"/>
          <w:szCs w:val="21"/>
        </w:rPr>
        <w:br/>
      </w:r>
      <w:r w:rsidR="008F3C98">
        <w:rPr>
          <w:rFonts w:ascii="Calibri" w:hAnsi="Calibri"/>
          <w:sz w:val="21"/>
          <w:szCs w:val="21"/>
        </w:rPr>
        <w:br/>
      </w:r>
      <w:r w:rsidRPr="00EB3AFB">
        <w:rPr>
          <w:rFonts w:ascii="Calibri" w:hAnsi="Calibri"/>
          <w:sz w:val="21"/>
          <w:szCs w:val="21"/>
        </w:rPr>
        <w:t>If you hav</w:t>
      </w:r>
      <w:r w:rsidR="007A152C">
        <w:rPr>
          <w:rFonts w:ascii="Calibri" w:hAnsi="Calibri"/>
          <w:sz w:val="21"/>
          <w:szCs w:val="21"/>
        </w:rPr>
        <w:t>e any questions, please call Pacific Blue Cross</w:t>
      </w:r>
      <w:r w:rsidRPr="00EB3AFB">
        <w:rPr>
          <w:rFonts w:ascii="Calibri" w:hAnsi="Calibri"/>
          <w:sz w:val="21"/>
          <w:szCs w:val="21"/>
        </w:rPr>
        <w:t xml:space="preserve"> at 604 419-2600</w:t>
      </w:r>
      <w:r>
        <w:rPr>
          <w:rFonts w:ascii="Calibri" w:hAnsi="Calibri"/>
          <w:sz w:val="21"/>
          <w:szCs w:val="21"/>
        </w:rPr>
        <w:t xml:space="preserve"> </w:t>
      </w:r>
      <w:r w:rsidRPr="00EB3AFB">
        <w:rPr>
          <w:rFonts w:ascii="Calibri" w:hAnsi="Calibri"/>
          <w:sz w:val="21"/>
          <w:szCs w:val="21"/>
        </w:rPr>
        <w:t xml:space="preserve">or 1-888-275-4672 (toll-free) and </w:t>
      </w:r>
      <w:r>
        <w:rPr>
          <w:rFonts w:ascii="Calibri" w:hAnsi="Calibri"/>
          <w:sz w:val="21"/>
          <w:szCs w:val="21"/>
        </w:rPr>
        <w:t xml:space="preserve">a </w:t>
      </w:r>
      <w:r w:rsidRPr="00EB3AFB">
        <w:rPr>
          <w:rFonts w:ascii="Calibri" w:hAnsi="Calibri"/>
          <w:sz w:val="21"/>
          <w:szCs w:val="21"/>
        </w:rPr>
        <w:t xml:space="preserve">Customer Service Representative will be able to transfer you to </w:t>
      </w:r>
      <w:r>
        <w:rPr>
          <w:rFonts w:ascii="Calibri" w:hAnsi="Calibri"/>
          <w:b/>
          <w:sz w:val="21"/>
          <w:szCs w:val="21"/>
        </w:rPr>
        <w:t xml:space="preserve">Pharmacy </w:t>
      </w:r>
      <w:r w:rsidRPr="00EB3AFB">
        <w:rPr>
          <w:rFonts w:ascii="Calibri" w:hAnsi="Calibri"/>
          <w:b/>
          <w:sz w:val="21"/>
          <w:szCs w:val="21"/>
        </w:rPr>
        <w:t xml:space="preserve">Services </w:t>
      </w:r>
      <w:r w:rsidRPr="00EB3AFB">
        <w:rPr>
          <w:rFonts w:ascii="Calibri" w:hAnsi="Calibri"/>
          <w:sz w:val="21"/>
          <w:szCs w:val="21"/>
        </w:rPr>
        <w:t xml:space="preserve">if they are not able to assist you.  </w:t>
      </w:r>
    </w:p>
    <w:p w:rsidR="001916C9" w:rsidRDefault="001916C9" w:rsidP="002B6D13">
      <w:pPr>
        <w:ind w:right="9"/>
      </w:pPr>
    </w:p>
    <w:p w:rsidR="00970E61" w:rsidRPr="007A152C" w:rsidRDefault="008F3C98" w:rsidP="007829B5">
      <w:pPr>
        <w:ind w:right="9"/>
        <w:rPr>
          <w:rFonts w:asciiTheme="minorHAnsi" w:hAnsiTheme="minorHAnsi"/>
          <w:sz w:val="18"/>
          <w:szCs w:val="18"/>
        </w:rPr>
      </w:pPr>
      <w:r w:rsidRPr="007A152C">
        <w:rPr>
          <w:rFonts w:asciiTheme="minorHAnsi" w:hAnsiTheme="minorHAnsi"/>
          <w:sz w:val="18"/>
          <w:szCs w:val="18"/>
        </w:rPr>
        <w:t>0591.124</w:t>
      </w:r>
    </w:p>
    <w:sectPr w:rsidR="00970E61" w:rsidRPr="007A152C" w:rsidSect="008F3C98">
      <w:headerReference w:type="first" r:id="rId9"/>
      <w:pgSz w:w="12240" w:h="15840" w:code="1"/>
      <w:pgMar w:top="1710" w:right="1890" w:bottom="990" w:left="141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37" w:rsidRDefault="005B5937">
      <w:r>
        <w:separator/>
      </w:r>
    </w:p>
  </w:endnote>
  <w:endnote w:type="continuationSeparator" w:id="0">
    <w:p w:rsidR="005B5937" w:rsidRDefault="005B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37" w:rsidRDefault="005B5937">
      <w:r>
        <w:separator/>
      </w:r>
    </w:p>
  </w:footnote>
  <w:footnote w:type="continuationSeparator" w:id="0">
    <w:p w:rsidR="005B5937" w:rsidRDefault="005B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61" w:rsidRDefault="007D0E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70.65pt;margin-top:-36pt;width:612pt;height:791.8pt;z-index:-251658752">
          <v:imagedata r:id="rId1" o:title="042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8DA"/>
    <w:multiLevelType w:val="hybridMultilevel"/>
    <w:tmpl w:val="6D5E1D36"/>
    <w:lvl w:ilvl="0" w:tplc="C9BCD65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4155F"/>
    <w:multiLevelType w:val="hybridMultilevel"/>
    <w:tmpl w:val="0934850E"/>
    <w:lvl w:ilvl="0" w:tplc="F812780A">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6C9"/>
    <w:rsid w:val="000258D8"/>
    <w:rsid w:val="000518A2"/>
    <w:rsid w:val="001916C9"/>
    <w:rsid w:val="00194038"/>
    <w:rsid w:val="001C1DBD"/>
    <w:rsid w:val="001C6D5A"/>
    <w:rsid w:val="00264EA9"/>
    <w:rsid w:val="0028291B"/>
    <w:rsid w:val="002B4191"/>
    <w:rsid w:val="002B6D13"/>
    <w:rsid w:val="002D24F4"/>
    <w:rsid w:val="002D4FCE"/>
    <w:rsid w:val="004750B7"/>
    <w:rsid w:val="004C5DEE"/>
    <w:rsid w:val="005770ED"/>
    <w:rsid w:val="00577655"/>
    <w:rsid w:val="0059749F"/>
    <w:rsid w:val="005B5937"/>
    <w:rsid w:val="005F214E"/>
    <w:rsid w:val="00622EC1"/>
    <w:rsid w:val="007829B5"/>
    <w:rsid w:val="007A152C"/>
    <w:rsid w:val="007B202A"/>
    <w:rsid w:val="007D0E48"/>
    <w:rsid w:val="00807937"/>
    <w:rsid w:val="008F3C98"/>
    <w:rsid w:val="00915703"/>
    <w:rsid w:val="009205D9"/>
    <w:rsid w:val="00970E61"/>
    <w:rsid w:val="009D52FE"/>
    <w:rsid w:val="00A74707"/>
    <w:rsid w:val="00B80525"/>
    <w:rsid w:val="00DB7425"/>
    <w:rsid w:val="00FB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6C9"/>
    <w:rPr>
      <w:sz w:val="24"/>
      <w:szCs w:val="24"/>
    </w:rPr>
  </w:style>
  <w:style w:type="paragraph" w:styleId="Heading3">
    <w:name w:val="heading 3"/>
    <w:basedOn w:val="Normal"/>
    <w:next w:val="Normal"/>
    <w:qFormat/>
    <w:rsid w:val="00970E6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5DEE"/>
    <w:pPr>
      <w:tabs>
        <w:tab w:val="center" w:pos="4320"/>
        <w:tab w:val="right" w:pos="8640"/>
      </w:tabs>
    </w:pPr>
  </w:style>
  <w:style w:type="paragraph" w:styleId="Footer">
    <w:name w:val="footer"/>
    <w:basedOn w:val="Normal"/>
    <w:rsid w:val="004C5DEE"/>
    <w:pPr>
      <w:tabs>
        <w:tab w:val="center" w:pos="4320"/>
        <w:tab w:val="right" w:pos="8640"/>
      </w:tabs>
    </w:pPr>
  </w:style>
  <w:style w:type="character" w:styleId="Hyperlink">
    <w:name w:val="Hyperlink"/>
    <w:uiPriority w:val="99"/>
    <w:unhideWhenUsed/>
    <w:rsid w:val="001916C9"/>
    <w:rPr>
      <w:color w:val="0000FF"/>
      <w:u w:val="single"/>
    </w:rPr>
  </w:style>
  <w:style w:type="table" w:styleId="TableGrid">
    <w:name w:val="Table Grid"/>
    <w:basedOn w:val="TableNormal"/>
    <w:rsid w:val="00807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cbl.hlth.gov.bc.ca/pharmacare/benefitslookup/" TargetMode="External"/><Relationship Id="rId3" Type="http://schemas.openxmlformats.org/officeDocument/2006/relationships/settings" Target="settings.xml"/><Relationship Id="rId7" Type="http://schemas.openxmlformats.org/officeDocument/2006/relationships/hyperlink" Target="http://www.pac.bluecros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Communications\DOCKETS\0591.Bulletins.04.2010\PBC_BULLETIN_TEMPLATE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PBC_BULLETIN_TEMPLATE_2014.dotx</Template>
  <TotalTime>1</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Pacific Blue Cross</Company>
  <LinksUpToDate>false</LinksUpToDate>
  <CharactersWithSpaces>3068</CharactersWithSpaces>
  <SharedDoc>false</SharedDoc>
  <HLinks>
    <vt:vector size="12" baseType="variant">
      <vt:variant>
        <vt:i4>7995496</vt:i4>
      </vt:variant>
      <vt:variant>
        <vt:i4>3</vt:i4>
      </vt:variant>
      <vt:variant>
        <vt:i4>0</vt:i4>
      </vt:variant>
      <vt:variant>
        <vt:i4>5</vt:i4>
      </vt:variant>
      <vt:variant>
        <vt:lpwstr>https://pcbl.hlth.gov.bc.ca/pharmacare/benefitslookup/</vt:lpwstr>
      </vt:variant>
      <vt:variant>
        <vt:lpwstr/>
      </vt:variant>
      <vt:variant>
        <vt:i4>1835096</vt:i4>
      </vt:variant>
      <vt:variant>
        <vt:i4>0</vt:i4>
      </vt:variant>
      <vt:variant>
        <vt:i4>0</vt:i4>
      </vt:variant>
      <vt:variant>
        <vt:i4>5</vt:i4>
      </vt:variant>
      <vt:variant>
        <vt:lpwstr>http://www.pac.bluecross.ca/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Anne M.</dc:creator>
  <cp:lastModifiedBy>Ni, Annie</cp:lastModifiedBy>
  <cp:revision>3</cp:revision>
  <cp:lastPrinted>2014-04-04T15:04:00Z</cp:lastPrinted>
  <dcterms:created xsi:type="dcterms:W3CDTF">2015-03-06T00:42:00Z</dcterms:created>
  <dcterms:modified xsi:type="dcterms:W3CDTF">2015-03-06T00:42:00Z</dcterms:modified>
</cp:coreProperties>
</file>